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val="en-US" w:eastAsia="zh-CN"/>
        </w:rP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val="en-US" w:eastAsia="zh-CN"/>
        </w:rP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val="en-US" w:eastAsia="zh-CN"/>
        </w:rP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val="en-US" w:eastAsia="zh-CN"/>
        </w:rP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val="en-US" w:eastAsia="zh-CN"/>
        </w:rP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val="en-US" w:eastAsia="zh-CN"/>
        </w:rPr>
        <w:t>9</w:t>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单位预算政府基金预算财政拨款支出表</w:t>
      </w:r>
      <w:r>
        <w:tab/>
      </w:r>
      <w:r>
        <w:rPr>
          <w:rFonts w:hint="eastAsia"/>
          <w:lang w:val="en-US" w:eastAsia="zh-CN"/>
        </w:rPr>
        <w:t>1</w:t>
      </w:r>
      <w:r>
        <w:fldChar w:fldCharType="end"/>
      </w:r>
      <w:r>
        <w:rPr>
          <w:rFonts w:hint="eastAsia"/>
          <w:lang w:val="en-US" w:eastAsia="zh-CN"/>
        </w:rPr>
        <w:t>0</w:t>
      </w:r>
    </w:p>
    <w:p>
      <w:pPr>
        <w:pStyle w:val="7"/>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单位预算国有资本经营预算财政拨款支出表</w:t>
      </w:r>
      <w:r>
        <w:tab/>
      </w:r>
      <w:r>
        <w:rPr>
          <w:rFonts w:hint="eastAsia"/>
          <w:lang w:val="en-US" w:eastAsia="zh-CN"/>
        </w:rPr>
        <w:t>1</w:t>
      </w:r>
      <w:r>
        <w:fldChar w:fldCharType="end"/>
      </w:r>
      <w:r>
        <w:rPr>
          <w:rFonts w:hint="eastAsia"/>
          <w:lang w:val="en-US" w:eastAsia="zh-CN"/>
        </w:rPr>
        <w:t>1</w:t>
      </w:r>
    </w:p>
    <w:p>
      <w:pPr>
        <w:pStyle w:val="7"/>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单位预算财政拨款“三公”经费支出表</w:t>
      </w:r>
      <w:r>
        <w:tab/>
      </w:r>
      <w:r>
        <w:rPr>
          <w:rFonts w:hint="eastAsia"/>
          <w:lang w:val="en-US" w:eastAsia="zh-CN"/>
        </w:rPr>
        <w:t>1</w:t>
      </w:r>
      <w:r>
        <w:fldChar w:fldCharType="end"/>
      </w:r>
      <w:r>
        <w:rPr>
          <w:rFonts w:hint="eastAsia"/>
          <w:lang w:val="en-US" w:eastAsia="zh-CN"/>
        </w:rPr>
        <w:t>2</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3</w:t>
      </w:r>
    </w:p>
    <w:p>
      <w:pPr>
        <w:pStyle w:val="7"/>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3</w:t>
      </w:r>
    </w:p>
    <w:p>
      <w:pPr>
        <w:pStyle w:val="7"/>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1</w:t>
      </w:r>
      <w:r>
        <w:fldChar w:fldCharType="end"/>
      </w:r>
      <w:r>
        <w:rPr>
          <w:rFonts w:hint="eastAsia"/>
          <w:lang w:val="en-US" w:eastAsia="zh-CN"/>
        </w:rPr>
        <w:t>8</w:t>
      </w:r>
    </w:p>
    <w:p>
      <w:pPr>
        <w:pStyle w:val="7"/>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1</w:t>
      </w:r>
      <w:r>
        <w:fldChar w:fldCharType="end"/>
      </w:r>
      <w:r>
        <w:rPr>
          <w:rFonts w:hint="eastAsia"/>
          <w:lang w:val="en-US" w:eastAsia="zh-CN"/>
        </w:rPr>
        <w:t>8</w:t>
      </w:r>
    </w:p>
    <w:p>
      <w:pPr>
        <w:pStyle w:val="7"/>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1</w:t>
      </w:r>
      <w:r>
        <w:fldChar w:fldCharType="end"/>
      </w:r>
      <w:r>
        <w:rPr>
          <w:rFonts w:hint="eastAsia"/>
          <w:lang w:val="en-US" w:eastAsia="zh-CN"/>
        </w:rPr>
        <w:t>9</w:t>
      </w:r>
    </w:p>
    <w:p>
      <w:pPr>
        <w:pStyle w:val="7"/>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0</w:t>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五十七、霸州市东杨庄乡邱庄子完全小学收支预算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501551霸州市东杨庄乡邱庄子完全小学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259.45</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259.45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259.45</w:t>
            </w:r>
          </w:p>
        </w:tc>
        <w:tc>
          <w:tcPr>
            <w:tcW w:w="4535" w:type="dxa"/>
            <w:vAlign w:val="center"/>
          </w:tcPr>
          <w:p>
            <w:pPr>
              <w:pStyle w:val="24"/>
            </w:pPr>
            <w:r>
              <w:t>本年支出合计</w:t>
            </w:r>
          </w:p>
        </w:tc>
        <w:tc>
          <w:tcPr>
            <w:tcW w:w="2126" w:type="dxa"/>
            <w:vAlign w:val="center"/>
          </w:tcPr>
          <w:p>
            <w:pPr>
              <w:pStyle w:val="25"/>
            </w:pPr>
            <w:r>
              <w:t>259.45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259.45</w:t>
            </w:r>
          </w:p>
        </w:tc>
        <w:tc>
          <w:tcPr>
            <w:tcW w:w="4535" w:type="dxa"/>
            <w:vAlign w:val="center"/>
          </w:tcPr>
          <w:p>
            <w:pPr>
              <w:pStyle w:val="24"/>
            </w:pPr>
            <w:r>
              <w:t>支出总计</w:t>
            </w:r>
          </w:p>
        </w:tc>
        <w:tc>
          <w:tcPr>
            <w:tcW w:w="2126" w:type="dxa"/>
            <w:vAlign w:val="center"/>
          </w:tcPr>
          <w:p>
            <w:pPr>
              <w:pStyle w:val="25"/>
            </w:pPr>
            <w:r>
              <w:t>259.45</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501551霸州市东杨庄乡邱庄子完全小学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259.45</w:t>
            </w:r>
          </w:p>
        </w:tc>
        <w:tc>
          <w:tcPr>
            <w:tcW w:w="1134" w:type="dxa"/>
            <w:vAlign w:val="center"/>
          </w:tcPr>
          <w:p>
            <w:pPr>
              <w:pStyle w:val="25"/>
            </w:pPr>
            <w:r>
              <w:t>259.45</w:t>
            </w:r>
          </w:p>
        </w:tc>
        <w:tc>
          <w:tcPr>
            <w:tcW w:w="1134" w:type="dxa"/>
            <w:vAlign w:val="center"/>
          </w:tcPr>
          <w:p>
            <w:pPr>
              <w:pStyle w:val="25"/>
            </w:pPr>
            <w:r>
              <w:t>259.45</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259.45</w:t>
            </w:r>
          </w:p>
        </w:tc>
        <w:tc>
          <w:tcPr>
            <w:tcW w:w="1134" w:type="dxa"/>
            <w:vAlign w:val="center"/>
          </w:tcPr>
          <w:p>
            <w:pPr>
              <w:pStyle w:val="21"/>
            </w:pPr>
            <w:r>
              <w:t>259.45</w:t>
            </w:r>
          </w:p>
        </w:tc>
        <w:tc>
          <w:tcPr>
            <w:tcW w:w="1134" w:type="dxa"/>
            <w:vAlign w:val="center"/>
          </w:tcPr>
          <w:p>
            <w:pPr>
              <w:pStyle w:val="21"/>
            </w:pPr>
            <w:r>
              <w:t>259.45</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259.45</w:t>
            </w:r>
          </w:p>
        </w:tc>
        <w:tc>
          <w:tcPr>
            <w:tcW w:w="1134" w:type="dxa"/>
            <w:vAlign w:val="center"/>
          </w:tcPr>
          <w:p>
            <w:pPr>
              <w:pStyle w:val="21"/>
            </w:pPr>
            <w:r>
              <w:t>259.45</w:t>
            </w:r>
          </w:p>
        </w:tc>
        <w:tc>
          <w:tcPr>
            <w:tcW w:w="1134" w:type="dxa"/>
            <w:vAlign w:val="center"/>
          </w:tcPr>
          <w:p>
            <w:pPr>
              <w:pStyle w:val="21"/>
            </w:pPr>
            <w:r>
              <w:t>259.45</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259.45</w:t>
            </w:r>
          </w:p>
        </w:tc>
        <w:tc>
          <w:tcPr>
            <w:tcW w:w="1134" w:type="dxa"/>
            <w:vAlign w:val="center"/>
          </w:tcPr>
          <w:p>
            <w:pPr>
              <w:pStyle w:val="21"/>
            </w:pPr>
            <w:r>
              <w:t>259.45</w:t>
            </w:r>
          </w:p>
        </w:tc>
        <w:tc>
          <w:tcPr>
            <w:tcW w:w="1134" w:type="dxa"/>
            <w:vAlign w:val="center"/>
          </w:tcPr>
          <w:p>
            <w:pPr>
              <w:pStyle w:val="21"/>
            </w:pPr>
            <w:r>
              <w:t>259.45</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501551霸州市东杨庄乡邱庄子完全小学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259.45</w:t>
            </w:r>
          </w:p>
        </w:tc>
        <w:tc>
          <w:tcPr>
            <w:tcW w:w="1361" w:type="dxa"/>
            <w:vAlign w:val="center"/>
          </w:tcPr>
          <w:p>
            <w:pPr>
              <w:pStyle w:val="25"/>
            </w:pPr>
            <w:r>
              <w:t>252.10</w:t>
            </w:r>
          </w:p>
        </w:tc>
        <w:tc>
          <w:tcPr>
            <w:tcW w:w="1361" w:type="dxa"/>
            <w:vAlign w:val="center"/>
          </w:tcPr>
          <w:p>
            <w:pPr>
              <w:pStyle w:val="25"/>
            </w:pPr>
            <w:r>
              <w:t>7.35</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259.45</w:t>
            </w:r>
          </w:p>
        </w:tc>
        <w:tc>
          <w:tcPr>
            <w:tcW w:w="1361" w:type="dxa"/>
            <w:vAlign w:val="center"/>
          </w:tcPr>
          <w:p>
            <w:pPr>
              <w:pStyle w:val="21"/>
            </w:pPr>
            <w:r>
              <w:t>252.10</w:t>
            </w:r>
          </w:p>
        </w:tc>
        <w:tc>
          <w:tcPr>
            <w:tcW w:w="1361" w:type="dxa"/>
            <w:vAlign w:val="center"/>
          </w:tcPr>
          <w:p>
            <w:pPr>
              <w:pStyle w:val="21"/>
            </w:pPr>
            <w:r>
              <w:t>7.35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259.45</w:t>
            </w:r>
          </w:p>
        </w:tc>
        <w:tc>
          <w:tcPr>
            <w:tcW w:w="1361" w:type="dxa"/>
            <w:vAlign w:val="center"/>
          </w:tcPr>
          <w:p>
            <w:pPr>
              <w:pStyle w:val="21"/>
            </w:pPr>
            <w:r>
              <w:t>252.10</w:t>
            </w:r>
          </w:p>
        </w:tc>
        <w:tc>
          <w:tcPr>
            <w:tcW w:w="1361" w:type="dxa"/>
            <w:vAlign w:val="center"/>
          </w:tcPr>
          <w:p>
            <w:pPr>
              <w:pStyle w:val="21"/>
            </w:pPr>
            <w:r>
              <w:t>7.35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259.45</w:t>
            </w:r>
          </w:p>
        </w:tc>
        <w:tc>
          <w:tcPr>
            <w:tcW w:w="1361" w:type="dxa"/>
            <w:vAlign w:val="center"/>
          </w:tcPr>
          <w:p>
            <w:pPr>
              <w:pStyle w:val="21"/>
            </w:pPr>
            <w:r>
              <w:t>252.10</w:t>
            </w:r>
          </w:p>
        </w:tc>
        <w:tc>
          <w:tcPr>
            <w:tcW w:w="1361" w:type="dxa"/>
            <w:vAlign w:val="center"/>
          </w:tcPr>
          <w:p>
            <w:pPr>
              <w:pStyle w:val="21"/>
            </w:pPr>
            <w:r>
              <w:t>7.35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501551霸州市东杨庄乡邱庄子完全小学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259.45</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259.45</w:t>
            </w:r>
          </w:p>
        </w:tc>
        <w:tc>
          <w:tcPr>
            <w:tcW w:w="1474" w:type="dxa"/>
            <w:vAlign w:val="center"/>
          </w:tcPr>
          <w:p>
            <w:pPr>
              <w:pStyle w:val="21"/>
            </w:pPr>
            <w:r>
              <w:t>259.45</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259.45</w:t>
            </w:r>
          </w:p>
        </w:tc>
        <w:tc>
          <w:tcPr>
            <w:tcW w:w="3402" w:type="dxa"/>
            <w:vAlign w:val="center"/>
          </w:tcPr>
          <w:p>
            <w:pPr>
              <w:pStyle w:val="24"/>
            </w:pPr>
            <w:r>
              <w:t>本年支出合计</w:t>
            </w:r>
          </w:p>
        </w:tc>
        <w:tc>
          <w:tcPr>
            <w:tcW w:w="1474" w:type="dxa"/>
            <w:vAlign w:val="center"/>
          </w:tcPr>
          <w:p>
            <w:pPr>
              <w:pStyle w:val="25"/>
            </w:pPr>
            <w:r>
              <w:t>259.45</w:t>
            </w:r>
          </w:p>
        </w:tc>
        <w:tc>
          <w:tcPr>
            <w:tcW w:w="1474" w:type="dxa"/>
            <w:vAlign w:val="center"/>
          </w:tcPr>
          <w:p>
            <w:pPr>
              <w:pStyle w:val="25"/>
            </w:pPr>
            <w:r>
              <w:t>259.45</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259.45</w:t>
            </w:r>
          </w:p>
        </w:tc>
        <w:tc>
          <w:tcPr>
            <w:tcW w:w="3402" w:type="dxa"/>
            <w:vAlign w:val="center"/>
          </w:tcPr>
          <w:p>
            <w:pPr>
              <w:pStyle w:val="24"/>
            </w:pPr>
            <w:r>
              <w:t>支出总计</w:t>
            </w:r>
          </w:p>
        </w:tc>
        <w:tc>
          <w:tcPr>
            <w:tcW w:w="1474" w:type="dxa"/>
            <w:vAlign w:val="center"/>
          </w:tcPr>
          <w:p>
            <w:pPr>
              <w:pStyle w:val="25"/>
            </w:pPr>
            <w:r>
              <w:t>259.45</w:t>
            </w:r>
          </w:p>
        </w:tc>
        <w:tc>
          <w:tcPr>
            <w:tcW w:w="1474" w:type="dxa"/>
            <w:vAlign w:val="center"/>
          </w:tcPr>
          <w:p>
            <w:pPr>
              <w:pStyle w:val="25"/>
            </w:pPr>
            <w:r>
              <w:t>259.45</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501551霸州市东杨庄乡邱庄子完全小学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259.45</w:t>
            </w:r>
          </w:p>
        </w:tc>
        <w:tc>
          <w:tcPr>
            <w:tcW w:w="2551" w:type="dxa"/>
            <w:vAlign w:val="center"/>
          </w:tcPr>
          <w:p>
            <w:pPr>
              <w:pStyle w:val="25"/>
            </w:pPr>
            <w:r>
              <w:t>252.10</w:t>
            </w:r>
          </w:p>
        </w:tc>
        <w:tc>
          <w:tcPr>
            <w:tcW w:w="2551" w:type="dxa"/>
            <w:vAlign w:val="center"/>
          </w:tcPr>
          <w:p>
            <w:pPr>
              <w:pStyle w:val="25"/>
            </w:pPr>
            <w:r>
              <w:t>7.35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259.45</w:t>
            </w:r>
          </w:p>
        </w:tc>
        <w:tc>
          <w:tcPr>
            <w:tcW w:w="2551" w:type="dxa"/>
            <w:vAlign w:val="center"/>
          </w:tcPr>
          <w:p>
            <w:pPr>
              <w:pStyle w:val="21"/>
            </w:pPr>
            <w:r>
              <w:t>252.10</w:t>
            </w:r>
          </w:p>
        </w:tc>
        <w:tc>
          <w:tcPr>
            <w:tcW w:w="2551" w:type="dxa"/>
            <w:vAlign w:val="center"/>
          </w:tcPr>
          <w:p>
            <w:pPr>
              <w:pStyle w:val="21"/>
            </w:pPr>
            <w:r>
              <w:t>7.35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259.45</w:t>
            </w:r>
          </w:p>
        </w:tc>
        <w:tc>
          <w:tcPr>
            <w:tcW w:w="2551" w:type="dxa"/>
            <w:vAlign w:val="center"/>
          </w:tcPr>
          <w:p>
            <w:pPr>
              <w:pStyle w:val="21"/>
            </w:pPr>
            <w:r>
              <w:t>252.10</w:t>
            </w:r>
          </w:p>
        </w:tc>
        <w:tc>
          <w:tcPr>
            <w:tcW w:w="2551" w:type="dxa"/>
            <w:vAlign w:val="center"/>
          </w:tcPr>
          <w:p>
            <w:pPr>
              <w:pStyle w:val="21"/>
            </w:pPr>
            <w:r>
              <w:t>7.35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259.45</w:t>
            </w:r>
          </w:p>
        </w:tc>
        <w:tc>
          <w:tcPr>
            <w:tcW w:w="2551" w:type="dxa"/>
            <w:vAlign w:val="center"/>
          </w:tcPr>
          <w:p>
            <w:pPr>
              <w:pStyle w:val="21"/>
            </w:pPr>
            <w:r>
              <w:t>252.10</w:t>
            </w:r>
          </w:p>
        </w:tc>
        <w:tc>
          <w:tcPr>
            <w:tcW w:w="2551" w:type="dxa"/>
            <w:vAlign w:val="center"/>
          </w:tcPr>
          <w:p>
            <w:pPr>
              <w:pStyle w:val="21"/>
            </w:pPr>
            <w:r>
              <w:t>7.35</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501551霸州市东杨庄乡邱庄子完全小学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252.10</w:t>
            </w:r>
          </w:p>
        </w:tc>
        <w:tc>
          <w:tcPr>
            <w:tcW w:w="2551" w:type="dxa"/>
            <w:vAlign w:val="center"/>
          </w:tcPr>
          <w:p>
            <w:pPr>
              <w:pStyle w:val="25"/>
            </w:pPr>
            <w:r>
              <w:t>248.71</w:t>
            </w:r>
          </w:p>
        </w:tc>
        <w:tc>
          <w:tcPr>
            <w:tcW w:w="2551" w:type="dxa"/>
            <w:vAlign w:val="center"/>
          </w:tcPr>
          <w:p>
            <w:pPr>
              <w:pStyle w:val="25"/>
            </w:pPr>
            <w:r>
              <w:t>3.39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211.66</w:t>
            </w:r>
          </w:p>
        </w:tc>
        <w:tc>
          <w:tcPr>
            <w:tcW w:w="2551" w:type="dxa"/>
            <w:vAlign w:val="center"/>
          </w:tcPr>
          <w:p>
            <w:pPr>
              <w:pStyle w:val="21"/>
            </w:pPr>
            <w:r>
              <w:t>211.66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48.59</w:t>
            </w:r>
          </w:p>
        </w:tc>
        <w:tc>
          <w:tcPr>
            <w:tcW w:w="2551" w:type="dxa"/>
            <w:vAlign w:val="center"/>
          </w:tcPr>
          <w:p>
            <w:pPr>
              <w:pStyle w:val="21"/>
            </w:pPr>
            <w:r>
              <w:t>48.59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11.61</w:t>
            </w:r>
          </w:p>
        </w:tc>
        <w:tc>
          <w:tcPr>
            <w:tcW w:w="2551" w:type="dxa"/>
            <w:vAlign w:val="center"/>
          </w:tcPr>
          <w:p>
            <w:pPr>
              <w:pStyle w:val="21"/>
            </w:pPr>
            <w:r>
              <w:t>11.61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72.07</w:t>
            </w:r>
          </w:p>
        </w:tc>
        <w:tc>
          <w:tcPr>
            <w:tcW w:w="2551" w:type="dxa"/>
            <w:vAlign w:val="center"/>
          </w:tcPr>
          <w:p>
            <w:pPr>
              <w:pStyle w:val="21"/>
            </w:pPr>
            <w:r>
              <w:t>72.07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16.01</w:t>
            </w:r>
          </w:p>
        </w:tc>
        <w:tc>
          <w:tcPr>
            <w:tcW w:w="2551" w:type="dxa"/>
            <w:vAlign w:val="center"/>
          </w:tcPr>
          <w:p>
            <w:pPr>
              <w:pStyle w:val="21"/>
            </w:pPr>
            <w:r>
              <w:t>16.01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4.75</w:t>
            </w:r>
          </w:p>
        </w:tc>
        <w:tc>
          <w:tcPr>
            <w:tcW w:w="2551" w:type="dxa"/>
            <w:vAlign w:val="center"/>
          </w:tcPr>
          <w:p>
            <w:pPr>
              <w:pStyle w:val="21"/>
            </w:pPr>
            <w:r>
              <w:t>4.75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1.14</w:t>
            </w:r>
          </w:p>
        </w:tc>
        <w:tc>
          <w:tcPr>
            <w:tcW w:w="2551" w:type="dxa"/>
            <w:vAlign w:val="center"/>
          </w:tcPr>
          <w:p>
            <w:pPr>
              <w:pStyle w:val="21"/>
            </w:pPr>
            <w:r>
              <w:t>1.14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13.09</w:t>
            </w:r>
          </w:p>
        </w:tc>
        <w:tc>
          <w:tcPr>
            <w:tcW w:w="2551" w:type="dxa"/>
            <w:vAlign w:val="center"/>
          </w:tcPr>
          <w:p>
            <w:pPr>
              <w:pStyle w:val="21"/>
            </w:pPr>
            <w:r>
              <w:t>13.09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44.40</w:t>
            </w:r>
          </w:p>
        </w:tc>
        <w:tc>
          <w:tcPr>
            <w:tcW w:w="2551" w:type="dxa"/>
            <w:vAlign w:val="center"/>
          </w:tcPr>
          <w:p>
            <w:pPr>
              <w:pStyle w:val="21"/>
            </w:pPr>
            <w:r>
              <w:t>44.40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3.39</w:t>
            </w:r>
          </w:p>
        </w:tc>
        <w:tc>
          <w:tcPr>
            <w:tcW w:w="2551" w:type="dxa"/>
            <w:vAlign w:val="center"/>
          </w:tcPr>
          <w:p>
            <w:pPr>
              <w:pStyle w:val="21"/>
            </w:pPr>
          </w:p>
        </w:tc>
        <w:tc>
          <w:tcPr>
            <w:tcW w:w="2551" w:type="dxa"/>
            <w:vAlign w:val="center"/>
          </w:tcPr>
          <w:p>
            <w:pPr>
              <w:pStyle w:val="21"/>
            </w:pPr>
            <w:r>
              <w:t>3.39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2.00</w:t>
            </w:r>
          </w:p>
        </w:tc>
        <w:tc>
          <w:tcPr>
            <w:tcW w:w="2551" w:type="dxa"/>
            <w:vAlign w:val="center"/>
          </w:tcPr>
          <w:p>
            <w:pPr>
              <w:pStyle w:val="21"/>
            </w:pPr>
          </w:p>
        </w:tc>
        <w:tc>
          <w:tcPr>
            <w:tcW w:w="2551" w:type="dxa"/>
            <w:vAlign w:val="center"/>
          </w:tcPr>
          <w:p>
            <w:pPr>
              <w:pStyle w:val="2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1.39</w:t>
            </w:r>
          </w:p>
        </w:tc>
        <w:tc>
          <w:tcPr>
            <w:tcW w:w="2551" w:type="dxa"/>
            <w:vAlign w:val="center"/>
          </w:tcPr>
          <w:p>
            <w:pPr>
              <w:pStyle w:val="21"/>
            </w:pPr>
          </w:p>
        </w:tc>
        <w:tc>
          <w:tcPr>
            <w:tcW w:w="2551" w:type="dxa"/>
            <w:vAlign w:val="center"/>
          </w:tcPr>
          <w:p>
            <w:pPr>
              <w:pStyle w:val="21"/>
            </w:pPr>
            <w:r>
              <w:t>1.39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37.05</w:t>
            </w:r>
          </w:p>
        </w:tc>
        <w:tc>
          <w:tcPr>
            <w:tcW w:w="2551" w:type="dxa"/>
            <w:vAlign w:val="center"/>
          </w:tcPr>
          <w:p>
            <w:pPr>
              <w:pStyle w:val="21"/>
            </w:pPr>
            <w:r>
              <w:t>37.05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27.26</w:t>
            </w:r>
          </w:p>
        </w:tc>
        <w:tc>
          <w:tcPr>
            <w:tcW w:w="2551" w:type="dxa"/>
            <w:vAlign w:val="center"/>
          </w:tcPr>
          <w:p>
            <w:pPr>
              <w:pStyle w:val="21"/>
            </w:pPr>
            <w:r>
              <w:t>27.26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9.77</w:t>
            </w:r>
          </w:p>
        </w:tc>
        <w:tc>
          <w:tcPr>
            <w:tcW w:w="2551" w:type="dxa"/>
            <w:vAlign w:val="center"/>
          </w:tcPr>
          <w:p>
            <w:pPr>
              <w:pStyle w:val="21"/>
            </w:pPr>
            <w:r>
              <w:t>9.77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0.02</w:t>
            </w:r>
          </w:p>
        </w:tc>
        <w:tc>
          <w:tcPr>
            <w:tcW w:w="2551" w:type="dxa"/>
            <w:vAlign w:val="center"/>
          </w:tcPr>
          <w:p>
            <w:pPr>
              <w:pStyle w:val="21"/>
            </w:pPr>
            <w:r>
              <w:t>0.02</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501551霸州市东杨庄乡邱庄子完全小学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501551霸州市东杨庄乡邱庄子完全小学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501551霸州市东杨庄乡邱庄子完全小学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4"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1"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p>
        </w:tc>
        <w:tc>
          <w:tcPr>
            <w:tcW w:w="3798" w:type="dxa"/>
            <w:vAlign w:val="center"/>
          </w:tcPr>
          <w:p>
            <w:pPr>
              <w:pStyle w:val="22"/>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霸州市东杨庄乡邱庄子完全小学2023年单位预算信息公开情况说明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按照《预算法》、《地方预决算公开操作规程》和《关于进一步推进预算公开工作的实施意见》规定，现将霸州市东杨庄乡邱庄子完全小学2023年单位预算公开如下：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widowControl w:val="0"/>
        <w:spacing w:line="500" w:lineRule="exact"/>
        <w:ind w:firstLine="560"/>
        <w:jc w:val="both"/>
        <w:rPr>
          <w:rFonts w:hint="default" w:eastAsia="方正仿宋_GBK" w:asciiTheme="minorHAnsi" w:hAnsiTheme="minorHAnsi" w:cstheme="minorBidi"/>
          <w:kern w:val="2"/>
          <w:sz w:val="28"/>
          <w:szCs w:val="22"/>
          <w:lang w:val="en-US" w:eastAsia="zh-CN"/>
        </w:rPr>
      </w:pPr>
      <w:r>
        <w:rPr>
          <w:rFonts w:hint="eastAsia" w:eastAsia="方正仿宋_GBK" w:asciiTheme="minorHAnsi" w:hAnsiTheme="minorHAnsi" w:cstheme="minorBidi"/>
          <w:kern w:val="2"/>
          <w:sz w:val="28"/>
          <w:szCs w:val="22"/>
          <w:lang w:eastAsia="zh-CN"/>
        </w:rPr>
        <w:t>实施小学义务教育，促进基础教育发展。小学学历教育。</w:t>
      </w:r>
    </w:p>
    <w:p>
      <w:pPr>
        <w:ind w:firstLine="640"/>
      </w:pPr>
      <w:bookmarkStart w:id="0" w:name="_GoBack"/>
      <w:bookmarkEnd w:id="0"/>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霸州市东杨庄乡邱庄子完全小学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firstLineChars="20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ind w:firstLineChars="200"/>
        <w:jc w:val="both"/>
        <w:rPr>
          <w:rFonts w:ascii="方正仿宋_GBK"/>
        </w:rPr>
      </w:pPr>
      <w:r>
        <w:rPr>
          <w:rFonts w:hint="eastAsia" w:ascii="方正仿宋_GBK"/>
        </w:rPr>
        <w:t>1、收入说明</w:t>
      </w:r>
    </w:p>
    <w:p>
      <w:pPr>
        <w:pStyle w:val="36"/>
        <w:ind w:firstLineChars="200"/>
        <w:jc w:val="both"/>
        <w:rPr>
          <w:rFonts w:ascii="方正仿宋_GBK"/>
        </w:rPr>
      </w:pPr>
      <w:r>
        <w:rPr>
          <w:rFonts w:hint="eastAsia" w:ascii="方正仿宋_GBK"/>
        </w:rPr>
        <w:t>反映本单位当年全部收入。2023年预算收入</w:t>
      </w:r>
      <w:r>
        <w:rPr>
          <w:rFonts w:hint="eastAsia" w:ascii="方正仿宋_GBK"/>
          <w:lang w:val="en-US" w:eastAsia="zh-CN"/>
        </w:rPr>
        <w:t>259.45</w:t>
      </w:r>
      <w:r>
        <w:rPr>
          <w:rFonts w:hint="eastAsia" w:ascii="方正仿宋_GBK"/>
        </w:rPr>
        <w:t>万元，其中：一般公共预算收入</w:t>
      </w:r>
      <w:r>
        <w:rPr>
          <w:rFonts w:hint="eastAsia" w:ascii="方正仿宋_GBK"/>
          <w:lang w:val="en-US" w:eastAsia="zh-CN"/>
        </w:rPr>
        <w:t>259.45</w:t>
      </w:r>
      <w:r>
        <w:rPr>
          <w:rFonts w:hint="eastAsia" w:ascii="方正仿宋_GBK"/>
        </w:rPr>
        <w:t>万元，基金预算收入</w:t>
      </w:r>
      <w:r>
        <w:rPr>
          <w:rFonts w:hint="eastAsia" w:ascii="方正仿宋_GBK"/>
          <w:lang w:val="en-US" w:eastAsia="zh-CN"/>
        </w:rPr>
        <w:t>0</w:t>
      </w:r>
      <w:r>
        <w:rPr>
          <w:rFonts w:hint="eastAsia" w:ascii="方正仿宋_GBK"/>
        </w:rPr>
        <w:t>万元，财政专户核拨收入</w:t>
      </w:r>
      <w:r>
        <w:rPr>
          <w:rFonts w:hint="eastAsia" w:ascii="方正仿宋_GBK"/>
          <w:lang w:val="en-US" w:eastAsia="zh-CN"/>
        </w:rPr>
        <w:t>0</w:t>
      </w:r>
      <w:r>
        <w:rPr>
          <w:rFonts w:hint="eastAsia" w:ascii="方正仿宋_GBK"/>
        </w:rPr>
        <w:t>万元，其他来源收入</w:t>
      </w:r>
      <w:r>
        <w:rPr>
          <w:rFonts w:hint="eastAsia" w:ascii="方正仿宋_GBK"/>
          <w:lang w:val="en-US" w:eastAsia="zh-CN"/>
        </w:rPr>
        <w:t>0</w:t>
      </w:r>
      <w:r>
        <w:rPr>
          <w:rFonts w:hint="eastAsia" w:ascii="方正仿宋_GBK"/>
        </w:rPr>
        <w:t>万元，上年结转</w:t>
      </w:r>
      <w:r>
        <w:rPr>
          <w:rFonts w:hint="eastAsia" w:ascii="方正仿宋_GBK"/>
          <w:lang w:val="en-US" w:eastAsia="zh-CN"/>
        </w:rPr>
        <w:t>0</w:t>
      </w:r>
      <w:r>
        <w:rPr>
          <w:rFonts w:hint="eastAsia" w:ascii="方正仿宋_GBK"/>
        </w:rPr>
        <w:t>万元。</w:t>
      </w:r>
    </w:p>
    <w:p>
      <w:pPr>
        <w:pStyle w:val="36"/>
        <w:ind w:firstLineChars="200"/>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w:t>
      </w:r>
      <w:r>
        <w:rPr>
          <w:rFonts w:hint="eastAsia" w:ascii="方正仿宋_GBK"/>
          <w:lang w:val="en-US" w:eastAsia="zh-CN"/>
        </w:rPr>
        <w:t>东杨庄乡邱庄子完全小学</w:t>
      </w:r>
      <w:r>
        <w:rPr>
          <w:rFonts w:hint="eastAsia" w:ascii="方正仿宋_GBK"/>
        </w:rPr>
        <w:t>单位2023年度单位预算中支出预算的总体情况。2023年支出预算</w:t>
      </w:r>
      <w:r>
        <w:rPr>
          <w:rFonts w:hint="eastAsia" w:ascii="方正仿宋_GBK"/>
          <w:lang w:val="en-US" w:eastAsia="zh-CN"/>
        </w:rPr>
        <w:t>259.45</w:t>
      </w:r>
      <w:r>
        <w:rPr>
          <w:rFonts w:hint="eastAsia" w:ascii="方正仿宋_GBK"/>
        </w:rPr>
        <w:t>万元，其中：基本支出</w:t>
      </w:r>
      <w:r>
        <w:rPr>
          <w:rFonts w:hint="eastAsia" w:ascii="方正仿宋_GBK"/>
          <w:lang w:val="en-US" w:eastAsia="zh-CN"/>
        </w:rPr>
        <w:t>252.10</w:t>
      </w:r>
      <w:r>
        <w:rPr>
          <w:rFonts w:hint="eastAsia" w:ascii="方正仿宋_GBK"/>
        </w:rPr>
        <w:t>万元，包括人员经费</w:t>
      </w:r>
      <w:r>
        <w:rPr>
          <w:rFonts w:hint="eastAsia" w:ascii="方正仿宋_GBK"/>
          <w:lang w:val="en-US" w:eastAsia="zh-CN"/>
        </w:rPr>
        <w:t>248.71</w:t>
      </w:r>
      <w:r>
        <w:rPr>
          <w:rFonts w:hint="eastAsia" w:ascii="方正仿宋_GBK"/>
        </w:rPr>
        <w:t>万元和日常公用经费</w:t>
      </w:r>
      <w:r>
        <w:rPr>
          <w:rFonts w:hint="eastAsia" w:ascii="方正仿宋_GBK"/>
          <w:lang w:val="en-US" w:eastAsia="zh-CN"/>
        </w:rPr>
        <w:t>3.39</w:t>
      </w:r>
      <w:r>
        <w:rPr>
          <w:rFonts w:hint="eastAsia" w:ascii="方正仿宋_GBK"/>
        </w:rPr>
        <w:t>万元；项目支出</w:t>
      </w:r>
      <w:r>
        <w:rPr>
          <w:rFonts w:hint="eastAsia" w:ascii="方正仿宋_GBK"/>
          <w:lang w:val="en-US" w:eastAsia="zh-CN"/>
        </w:rPr>
        <w:t>7.35</w:t>
      </w:r>
      <w:r>
        <w:rPr>
          <w:rFonts w:hint="eastAsia" w:ascii="方正仿宋_GBK"/>
        </w:rPr>
        <w:t>万元，主要为：</w:t>
      </w:r>
      <w:r>
        <w:rPr>
          <w:rFonts w:hint="eastAsia" w:ascii="方正仿宋_GBK"/>
          <w:lang w:val="en-US" w:eastAsia="zh-CN"/>
        </w:rPr>
        <w:t>电费</w:t>
      </w:r>
      <w:r>
        <w:rPr>
          <w:rFonts w:hint="eastAsia" w:ascii="方正仿宋_GBK"/>
        </w:rPr>
        <w:t>、</w:t>
      </w:r>
      <w:r>
        <w:rPr>
          <w:rFonts w:hint="eastAsia" w:ascii="方正仿宋_GBK"/>
          <w:lang w:val="en-US" w:eastAsia="zh-CN"/>
        </w:rPr>
        <w:t>物业管理费、取暖费、培训费、办公费、福利费、工会经费</w:t>
      </w:r>
      <w:r>
        <w:rPr>
          <w:rFonts w:hint="eastAsia" w:ascii="方正仿宋_GBK"/>
        </w:rPr>
        <w:t>。</w:t>
      </w:r>
    </w:p>
    <w:p>
      <w:pPr>
        <w:pStyle w:val="36"/>
        <w:ind w:firstLineChars="200"/>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hint="eastAsia" w:ascii="方正仿宋_GBK"/>
          <w:lang w:val="en-US" w:eastAsia="zh-CN"/>
        </w:rPr>
        <w:t>259.45</w:t>
      </w:r>
      <w:r>
        <w:rPr>
          <w:rFonts w:hint="eastAsia" w:ascii="方正仿宋_GBK"/>
        </w:rPr>
        <w:t>万元，较2022年预算增加</w:t>
      </w:r>
      <w:r>
        <w:rPr>
          <w:rFonts w:hint="eastAsia" w:ascii="方正仿宋_GBK"/>
          <w:lang w:val="en-US" w:eastAsia="zh-CN"/>
        </w:rPr>
        <w:t>15.6</w:t>
      </w:r>
      <w:r>
        <w:rPr>
          <w:rFonts w:hint="eastAsia" w:ascii="方正仿宋_GBK"/>
        </w:rPr>
        <w:t>万元，其中：基本支出增加</w:t>
      </w:r>
      <w:r>
        <w:rPr>
          <w:rFonts w:hint="eastAsia" w:ascii="方正仿宋_GBK"/>
          <w:lang w:val="en-US" w:eastAsia="zh-CN"/>
        </w:rPr>
        <w:t>15.6</w:t>
      </w:r>
      <w:r>
        <w:rPr>
          <w:rFonts w:hint="eastAsia" w:ascii="方正仿宋_GBK"/>
        </w:rPr>
        <w:t>万元，主要为</w:t>
      </w:r>
      <w:r>
        <w:rPr>
          <w:rFonts w:hint="eastAsia" w:ascii="方正仿宋_GBK"/>
          <w:lang w:val="en-US" w:eastAsia="zh-CN"/>
        </w:rPr>
        <w:t>日常经费</w:t>
      </w:r>
      <w:r>
        <w:rPr>
          <w:rFonts w:hint="eastAsia" w:ascii="方正仿宋_GBK"/>
        </w:rPr>
        <w:t>支出；项目支出增加</w:t>
      </w:r>
      <w:r>
        <w:rPr>
          <w:rFonts w:hint="eastAsia" w:ascii="方正仿宋_GBK"/>
          <w:lang w:val="en-US" w:eastAsia="zh-CN"/>
        </w:rPr>
        <w:t>电费</w:t>
      </w:r>
      <w:r>
        <w:rPr>
          <w:rFonts w:hint="eastAsia" w:ascii="方正仿宋_GBK"/>
        </w:rPr>
        <w:t>、</w:t>
      </w:r>
      <w:r>
        <w:rPr>
          <w:rFonts w:hint="eastAsia" w:ascii="方正仿宋_GBK"/>
          <w:lang w:val="en-US" w:eastAsia="zh-CN"/>
        </w:rPr>
        <w:t>物业管理费、取暖费、培训费、办公费、福利费、工会经费</w:t>
      </w:r>
      <w:r>
        <w:rPr>
          <w:rFonts w:hint="eastAsia" w:ascii="方正仿宋_GBK"/>
        </w:rPr>
        <w:t>。</w:t>
      </w:r>
    </w:p>
    <w:p>
      <w:pPr>
        <w:spacing w:before="10" w:after="10"/>
        <w:ind w:firstLine="640"/>
        <w:outlineLvl w:val="5"/>
        <w:rPr>
          <w:lang w:val="uk-UA"/>
        </w:rPr>
      </w:pPr>
      <w:r>
        <w:rPr>
          <w:rFonts w:ascii="黑体" w:hAnsi="黑体" w:eastAsia="黑体" w:cs="黑体"/>
          <w:color w:val="000000"/>
          <w:sz w:val="32"/>
        </w:rPr>
        <w:t>三、机关运行经费安排情况</w:t>
      </w:r>
    </w:p>
    <w:p>
      <w:pPr>
        <w:pStyle w:val="37"/>
        <w:rPr>
          <w:rFonts w:hint="eastAsia" w:ascii="方正仿宋_GBK"/>
        </w:rPr>
      </w:pPr>
      <w:r>
        <w:rPr>
          <w:rFonts w:hint="eastAsia" w:ascii="方正仿宋_GBK"/>
        </w:rPr>
        <w:t>2023年，我</w:t>
      </w:r>
      <w:r>
        <w:rPr>
          <w:rFonts w:hint="eastAsia" w:ascii="方正仿宋_GBK"/>
          <w:lang w:eastAsia="zh-CN"/>
        </w:rPr>
        <w:t>单位</w:t>
      </w:r>
      <w:r>
        <w:rPr>
          <w:rFonts w:hint="eastAsia" w:ascii="方正仿宋_GBK"/>
        </w:rPr>
        <w:t>机关运行经费共计安排</w:t>
      </w:r>
      <w:r>
        <w:rPr>
          <w:rFonts w:hint="eastAsia" w:ascii="方正仿宋_GBK"/>
          <w:lang w:val="en-US" w:eastAsia="zh-CN"/>
        </w:rPr>
        <w:t>259.45</w:t>
      </w:r>
      <w:r>
        <w:rPr>
          <w:rFonts w:hint="eastAsia" w:ascii="方正仿宋_GBK"/>
        </w:rPr>
        <w:t>万元，主要用于</w:t>
      </w:r>
      <w:r>
        <w:rPr>
          <w:rFonts w:hint="eastAsia" w:ascii="方正仿宋_GBK"/>
          <w:lang w:val="en-US" w:eastAsia="zh-CN"/>
        </w:rPr>
        <w:t>办公区的日常维修、办公用房水电费、办公用房取暖费、办公费、福利费、工会经费、物业管理费</w:t>
      </w:r>
      <w:r>
        <w:rPr>
          <w:rFonts w:hint="eastAsia" w:ascii="方正仿宋_GBK"/>
        </w:rPr>
        <w:t>等日常运行支出。</w:t>
      </w:r>
    </w:p>
    <w:p>
      <w:pPr>
        <w:pStyle w:val="37"/>
        <w:rPr>
          <w:rFonts w:ascii="方正仿宋_GBK"/>
        </w:rPr>
      </w:pP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val="en-US" w:eastAsia="zh-CN"/>
        </w:rPr>
        <w:t>0</w:t>
      </w:r>
      <w:r>
        <w:rPr>
          <w:rFonts w:hint="eastAsia" w:ascii="方正仿宋_GBK"/>
        </w:rPr>
        <w:t>万元。其中，因公出国（境）费</w:t>
      </w:r>
      <w:r>
        <w:rPr>
          <w:rFonts w:hint="eastAsia" w:ascii="方正仿宋_GBK"/>
          <w:lang w:val="en-US" w:eastAsia="zh-CN"/>
        </w:rPr>
        <w:t>0</w:t>
      </w:r>
      <w:r>
        <w:rPr>
          <w:rFonts w:hint="eastAsia" w:ascii="方正仿宋_GBK"/>
        </w:rPr>
        <w:t>万元；公务用车购置及运维费</w:t>
      </w:r>
      <w:r>
        <w:rPr>
          <w:rFonts w:hint="eastAsia" w:ascii="方正仿宋_GBK"/>
          <w:lang w:val="en-US" w:eastAsia="zh-CN"/>
        </w:rPr>
        <w:t>0</w:t>
      </w:r>
      <w:r>
        <w:rPr>
          <w:rFonts w:hint="eastAsia" w:ascii="方正仿宋_GBK"/>
        </w:rPr>
        <w:t>万元（其中：公务用车购置费为</w:t>
      </w:r>
      <w:r>
        <w:rPr>
          <w:rFonts w:hint="eastAsia" w:ascii="方正仿宋_GBK"/>
          <w:lang w:val="en-US" w:eastAsia="zh-CN"/>
        </w:rPr>
        <w:t>0</w:t>
      </w:r>
      <w:r>
        <w:rPr>
          <w:rFonts w:hint="eastAsia" w:ascii="方正仿宋_GBK"/>
        </w:rPr>
        <w:t>万元，公务用车运维费</w:t>
      </w:r>
      <w:r>
        <w:rPr>
          <w:rFonts w:hint="eastAsia" w:ascii="方正仿宋_GBK"/>
          <w:lang w:val="en-US" w:eastAsia="zh-CN"/>
        </w:rPr>
        <w:t>0</w:t>
      </w:r>
      <w:r>
        <w:rPr>
          <w:rFonts w:hint="eastAsia" w:ascii="方正仿宋_GBK"/>
        </w:rPr>
        <w:t>万元)；公务接待费</w:t>
      </w:r>
      <w:r>
        <w:rPr>
          <w:rFonts w:hint="eastAsia" w:ascii="方正仿宋_GBK"/>
          <w:lang w:val="en-US" w:eastAsia="zh-CN"/>
        </w:rPr>
        <w:t>0</w:t>
      </w:r>
      <w:r>
        <w:rPr>
          <w:rFonts w:hint="eastAsia" w:ascii="方正仿宋_GBK"/>
        </w:rPr>
        <w:t>万元。与2022年相比无增减变化。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≥65人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≥65人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≥65人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2023年，霸州市东杨庄乡邱庄子完全小学安排政府采购预算0.00万元。具体内容见下表。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501551霸州市东杨庄乡邱庄子完全小学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3"/>
            </w:pPr>
          </w:p>
        </w:tc>
        <w:tc>
          <w:tcPr>
            <w:tcW w:w="850" w:type="dxa"/>
            <w:vAlign w:val="center"/>
          </w:tcPr>
          <w:p>
            <w:pPr>
              <w:pStyle w:val="21"/>
            </w:pPr>
          </w:p>
        </w:tc>
        <w:tc>
          <w:tcPr>
            <w:tcW w:w="850"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霸州市东杨庄乡邱庄子完全小学上年末固定资产金额为</w:t>
      </w:r>
      <w:r>
        <w:rPr>
          <w:rFonts w:hint="eastAsia" w:eastAsia="方正仿宋_GBK"/>
          <w:color w:val="000000"/>
          <w:sz w:val="28"/>
          <w:lang w:val="en-US" w:eastAsia="zh-CN"/>
        </w:rPr>
        <w:t>46.30</w:t>
      </w:r>
      <w:r>
        <w:rPr>
          <w:rFonts w:eastAsia="方正仿宋_GBK"/>
          <w:color w:val="000000"/>
          <w:sz w:val="28"/>
        </w:rPr>
        <w:t>万元（详见下表）。本年度拟购置固定资产总额为0.00万元，已按要求列入政府采购预算，详见政府采购预算表。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501551霸州市东杨庄乡邱庄子完全小学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center"/>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资产总额</w:t>
            </w:r>
          </w:p>
        </w:tc>
        <w:tc>
          <w:tcPr>
            <w:tcW w:w="2835" w:type="dxa"/>
            <w:vAlign w:val="center"/>
          </w:tcPr>
          <w:p>
            <w:pPr>
              <w:widowControl/>
              <w:jc w:val="center"/>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w:t>
            </w:r>
          </w:p>
        </w:tc>
        <w:tc>
          <w:tcPr>
            <w:tcW w:w="2835" w:type="dxa"/>
            <w:vAlign w:val="center"/>
          </w:tcPr>
          <w:p>
            <w:pPr>
              <w:widowControl/>
              <w:jc w:val="center"/>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lang w:val="en-US" w:eastAsia="zh-CN"/>
                <w14:textFill>
                  <w14:solidFill>
                    <w14:schemeClr w14:val="tx1"/>
                  </w14:solidFill>
                </w14:textFill>
              </w:rPr>
              <w:t>46.30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1、房屋（平方米）</w:t>
            </w:r>
          </w:p>
        </w:tc>
        <w:tc>
          <w:tcPr>
            <w:tcW w:w="2835" w:type="dxa"/>
            <w:vAlign w:val="center"/>
          </w:tcPr>
          <w:p>
            <w:pPr>
              <w:widowControl/>
              <w:jc w:val="center"/>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0</w:t>
            </w:r>
          </w:p>
        </w:tc>
        <w:tc>
          <w:tcPr>
            <w:tcW w:w="2835" w:type="dxa"/>
            <w:vAlign w:val="center"/>
          </w:tcPr>
          <w:p>
            <w:pPr>
              <w:widowControl/>
              <w:jc w:val="center"/>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   其中：办公用房（平方米）</w:t>
            </w:r>
          </w:p>
        </w:tc>
        <w:tc>
          <w:tcPr>
            <w:tcW w:w="2835" w:type="dxa"/>
            <w:vAlign w:val="center"/>
          </w:tcPr>
          <w:p>
            <w:pPr>
              <w:widowControl/>
              <w:jc w:val="center"/>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0</w:t>
            </w:r>
          </w:p>
        </w:tc>
        <w:tc>
          <w:tcPr>
            <w:tcW w:w="2835" w:type="dxa"/>
            <w:vAlign w:val="center"/>
          </w:tcPr>
          <w:p>
            <w:pPr>
              <w:widowControl/>
              <w:jc w:val="center"/>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2、车辆（台、辆）</w:t>
            </w:r>
          </w:p>
        </w:tc>
        <w:tc>
          <w:tcPr>
            <w:tcW w:w="2835" w:type="dxa"/>
            <w:vAlign w:val="center"/>
          </w:tcPr>
          <w:p>
            <w:pPr>
              <w:widowControl/>
              <w:jc w:val="center"/>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0</w:t>
            </w:r>
          </w:p>
        </w:tc>
        <w:tc>
          <w:tcPr>
            <w:tcW w:w="2835" w:type="dxa"/>
            <w:vAlign w:val="center"/>
          </w:tcPr>
          <w:p>
            <w:pPr>
              <w:widowControl/>
              <w:jc w:val="center"/>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left"/>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3、单价在20万元以上的设备</w:t>
            </w:r>
          </w:p>
        </w:tc>
        <w:tc>
          <w:tcPr>
            <w:tcW w:w="0" w:type="auto"/>
            <w:vAlign w:val="center"/>
          </w:tcPr>
          <w:p>
            <w:pPr>
              <w:widowControl/>
              <w:jc w:val="center"/>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0</w:t>
            </w:r>
          </w:p>
        </w:tc>
        <w:tc>
          <w:tcPr>
            <w:tcW w:w="0" w:type="auto"/>
            <w:vAlign w:val="center"/>
          </w:tcPr>
          <w:p>
            <w:pPr>
              <w:widowControl/>
              <w:jc w:val="center"/>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left"/>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4、其他固定资产</w:t>
            </w:r>
          </w:p>
        </w:tc>
        <w:tc>
          <w:tcPr>
            <w:tcW w:w="0" w:type="auto"/>
            <w:vAlign w:val="center"/>
          </w:tcPr>
          <w:p>
            <w:pPr>
              <w:widowControl/>
              <w:jc w:val="center"/>
              <w:rPr>
                <w:rFonts w:hint="default"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lang w:val="en-US" w:eastAsia="zh-CN"/>
                <w14:textFill>
                  <w14:solidFill>
                    <w14:schemeClr w14:val="tx1"/>
                  </w14:solidFill>
                </w14:textFill>
              </w:rPr>
              <w:t>156</w:t>
            </w:r>
          </w:p>
        </w:tc>
        <w:tc>
          <w:tcPr>
            <w:tcW w:w="0" w:type="auto"/>
            <w:vAlign w:val="center"/>
          </w:tcPr>
          <w:p>
            <w:pPr>
              <w:widowControl/>
              <w:jc w:val="center"/>
              <w:rPr>
                <w:rFonts w:hint="default"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lang w:val="en-US" w:eastAsia="zh-CN"/>
                <w14:textFill>
                  <w14:solidFill>
                    <w14:schemeClr w14:val="tx1"/>
                  </w14:solidFill>
                </w14:textFill>
              </w:rPr>
              <w:t>46.30</w:t>
            </w:r>
          </w:p>
        </w:tc>
      </w:tr>
    </w:tbl>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b6d988e9-dc05-4b92-ab36-a6821276647f"/>
  </w:docVars>
  <w:rsids>
    <w:rsidRoot w:val="004A1168"/>
    <w:rsid w:val="00012A57"/>
    <w:rsid w:val="0002105E"/>
    <w:rsid w:val="000B7353"/>
    <w:rsid w:val="00136014"/>
    <w:rsid w:val="001F67F8"/>
    <w:rsid w:val="002F010E"/>
    <w:rsid w:val="003A5231"/>
    <w:rsid w:val="003D654A"/>
    <w:rsid w:val="00464BFB"/>
    <w:rsid w:val="004A1168"/>
    <w:rsid w:val="005B7AFC"/>
    <w:rsid w:val="006D6C4D"/>
    <w:rsid w:val="006F70C6"/>
    <w:rsid w:val="00972810"/>
    <w:rsid w:val="00991EB1"/>
    <w:rsid w:val="009B55A2"/>
    <w:rsid w:val="00A80758"/>
    <w:rsid w:val="00A9064A"/>
    <w:rsid w:val="00A915A7"/>
    <w:rsid w:val="00AA1FB3"/>
    <w:rsid w:val="00AD578B"/>
    <w:rsid w:val="00B6757F"/>
    <w:rsid w:val="00BB35A7"/>
    <w:rsid w:val="00C57197"/>
    <w:rsid w:val="00C672B5"/>
    <w:rsid w:val="00CC7E62"/>
    <w:rsid w:val="00D513F4"/>
    <w:rsid w:val="00D64AD2"/>
    <w:rsid w:val="00D93167"/>
    <w:rsid w:val="00D9444E"/>
    <w:rsid w:val="00E20116"/>
    <w:rsid w:val="00E3061C"/>
    <w:rsid w:val="00EF51BF"/>
    <w:rsid w:val="00FC209C"/>
    <w:rsid w:val="18914F9E"/>
    <w:rsid w:val="19854487"/>
    <w:rsid w:val="249D12EE"/>
    <w:rsid w:val="30E3452C"/>
    <w:rsid w:val="4009057C"/>
    <w:rsid w:val="49523233"/>
    <w:rsid w:val="51B5254A"/>
    <w:rsid w:val="66133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qFormat/>
    <w:uiPriority w:val="99"/>
    <w:rPr>
      <w:sz w:val="18"/>
      <w:szCs w:val="18"/>
    </w:rPr>
  </w:style>
  <w:style w:type="character" w:customStyle="1" w:styleId="14">
    <w:name w:val="页脚 字符"/>
    <w:basedOn w:val="12"/>
    <w:link w:val="5"/>
    <w:qFormat/>
    <w:uiPriority w:val="99"/>
    <w:rPr>
      <w:sz w:val="18"/>
      <w:szCs w:val="18"/>
    </w:rPr>
  </w:style>
  <w:style w:type="character" w:customStyle="1" w:styleId="15">
    <w:name w:val="标题 1 字符"/>
    <w:basedOn w:val="12"/>
    <w:link w:val="2"/>
    <w:qFormat/>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22</Pages>
  <Words>5317</Words>
  <Characters>6117</Characters>
  <Lines>64</Lines>
  <Paragraphs>18</Paragraphs>
  <TotalTime>0</TotalTime>
  <ScaleCrop>false</ScaleCrop>
  <LinksUpToDate>false</LinksUpToDate>
  <CharactersWithSpaces>6252</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2023-02-28T08:53:30Z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A0981EEE92254EAE8B9C260F34E9BF08</vt:lpwstr>
  </property>
</Properties>
</file>